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81E" w:rsidRDefault="008314A7">
      <w:pPr>
        <w:spacing w:after="120" w:line="240" w:lineRule="auto"/>
        <w:ind w:left="0" w:firstLine="0"/>
        <w:jc w:val="center"/>
        <w:textAlignment w:val="auto"/>
        <w:outlineLvl w:val="1"/>
        <w:rPr>
          <w:b/>
          <w:bCs/>
          <w:color w:val="000000" w:themeColor="text1"/>
          <w:u w:val="single"/>
          <w:lang w:eastAsia="ar-SA"/>
        </w:rPr>
      </w:pPr>
      <w:r w:rsidRPr="00314DD5">
        <w:rPr>
          <w:b/>
          <w:bCs/>
          <w:color w:val="000000" w:themeColor="text1"/>
          <w:u w:val="single"/>
          <w:lang w:eastAsia="ar-SA"/>
        </w:rPr>
        <w:t>ANÁLISE CRÍTICA DOS ORÇAMENTOS COLETADOS</w:t>
      </w:r>
    </w:p>
    <w:p w:rsidR="00314DD5" w:rsidRPr="00314DD5" w:rsidRDefault="00314DD5">
      <w:pPr>
        <w:spacing w:after="120" w:line="240" w:lineRule="auto"/>
        <w:ind w:left="0" w:firstLine="0"/>
        <w:jc w:val="center"/>
        <w:textAlignment w:val="auto"/>
        <w:outlineLvl w:val="1"/>
        <w:rPr>
          <w:b/>
          <w:bCs/>
          <w:color w:val="000000" w:themeColor="text1"/>
          <w:u w:val="single"/>
          <w:lang w:eastAsia="ar-SA"/>
        </w:rPr>
      </w:pPr>
    </w:p>
    <w:p w:rsidR="00B20B03" w:rsidRPr="00314DD5" w:rsidRDefault="008314A7" w:rsidP="00B20B03">
      <w:pPr>
        <w:suppressAutoHyphens w:val="0"/>
        <w:spacing w:after="200"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  <w:r w:rsidRPr="00314DD5">
        <w:rPr>
          <w:rFonts w:eastAsia="Calibri"/>
          <w:color w:val="000000" w:themeColor="text1"/>
          <w:lang w:eastAsia="en-US"/>
        </w:rPr>
        <w:t>Com base no Decreto Municipal de nº 3.537/2023 onde no seu Art.</w:t>
      </w:r>
      <w:r w:rsidR="0043101C" w:rsidRPr="00314DD5">
        <w:rPr>
          <w:rFonts w:eastAsia="Calibri"/>
          <w:color w:val="000000" w:themeColor="text1"/>
          <w:lang w:eastAsia="en-US"/>
        </w:rPr>
        <w:t xml:space="preserve"> </w:t>
      </w:r>
      <w:r w:rsidRPr="00314DD5">
        <w:rPr>
          <w:rFonts w:eastAsia="Calibri"/>
          <w:color w:val="000000" w:themeColor="text1"/>
          <w:lang w:eastAsia="en-US"/>
        </w:rPr>
        <w:t>368 trata dos Orçamentos Estimativos para Contratação de Bens e Serviços, t</w:t>
      </w:r>
      <w:r w:rsidR="00B20B03" w:rsidRPr="00314DD5">
        <w:rPr>
          <w:rFonts w:eastAsia="Calibri"/>
          <w:color w:val="000000" w:themeColor="text1"/>
          <w:lang w:eastAsia="en-US"/>
        </w:rPr>
        <w:t>emos as seguintes considerações:</w:t>
      </w:r>
    </w:p>
    <w:p w:rsidR="00B6181E" w:rsidRPr="00314DD5" w:rsidRDefault="008314A7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i/>
          <w:iCs/>
          <w:color w:val="000000" w:themeColor="text1"/>
          <w:lang w:eastAsia="en-US"/>
        </w:rPr>
      </w:pPr>
      <w:r w:rsidRPr="00314DD5">
        <w:rPr>
          <w:rFonts w:eastAsia="Calibri"/>
          <w:b/>
          <w:i/>
          <w:iCs/>
          <w:color w:val="000000" w:themeColor="text1"/>
          <w:lang w:eastAsia="en-US"/>
        </w:rPr>
        <w:t xml:space="preserve">I - </w:t>
      </w:r>
      <w:bookmarkStart w:id="0" w:name="_Hlk172010450"/>
      <w:r w:rsidRPr="00314DD5">
        <w:rPr>
          <w:rFonts w:eastAsia="Calibri"/>
          <w:b/>
          <w:i/>
          <w:iCs/>
          <w:color w:val="000000" w:themeColor="text1"/>
          <w:lang w:eastAsia="en-US"/>
        </w:rPr>
        <w:t>a composição de custos unitários menores ou iguais à mediana do item correspondente no painel para consulta de preços, nos bancos de preços e/ou no Portal Nacional de Contratações Públicas (PNCP)</w:t>
      </w:r>
      <w:bookmarkEnd w:id="0"/>
      <w:r w:rsidRPr="00314DD5">
        <w:rPr>
          <w:rFonts w:eastAsia="Calibri"/>
          <w:b/>
          <w:i/>
          <w:iCs/>
          <w:color w:val="000000" w:themeColor="text1"/>
          <w:lang w:eastAsia="en-US"/>
        </w:rPr>
        <w:t>:</w:t>
      </w:r>
    </w:p>
    <w:p w:rsidR="00B6181E" w:rsidRPr="00314DD5" w:rsidRDefault="008314A7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314DD5">
        <w:rPr>
          <w:b/>
          <w:color w:val="000000" w:themeColor="text1"/>
        </w:rPr>
        <w:t xml:space="preserve">Realizamos pesquisas nos sites </w:t>
      </w:r>
      <w:hyperlink r:id="rId10" w:tgtFrame="_new">
        <w:r w:rsidRPr="00314DD5">
          <w:rPr>
            <w:b/>
            <w:color w:val="000000" w:themeColor="text1"/>
            <w:u w:val="single"/>
          </w:rPr>
          <w:t>https://paineldeprecos.planejamento.gov.br/</w:t>
        </w:r>
      </w:hyperlink>
      <w:r w:rsidRPr="00314DD5">
        <w:rPr>
          <w:b/>
          <w:color w:val="000000" w:themeColor="text1"/>
        </w:rPr>
        <w:t xml:space="preserve"> e </w:t>
      </w:r>
      <w:hyperlink r:id="rId11">
        <w:r w:rsidRPr="00314DD5">
          <w:rPr>
            <w:rStyle w:val="Hyperlink"/>
            <w:b/>
            <w:color w:val="000000" w:themeColor="text1"/>
          </w:rPr>
          <w:t>https://www.gov.br/pncp/pt-br</w:t>
        </w:r>
      </w:hyperlink>
      <w:r w:rsidRPr="00314DD5">
        <w:rPr>
          <w:b/>
          <w:color w:val="000000" w:themeColor="text1"/>
        </w:rPr>
        <w:t>, conforme os documentos anexos, onde foram observadas as seguintes constatações:</w:t>
      </w:r>
    </w:p>
    <w:p w:rsidR="00972A96" w:rsidRPr="00314DD5" w:rsidRDefault="00972A96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i/>
          <w:iCs/>
          <w:color w:val="000000" w:themeColor="text1"/>
          <w:lang w:eastAsia="en-US"/>
        </w:rPr>
      </w:pPr>
    </w:p>
    <w:p w:rsidR="002172CF" w:rsidRPr="00314DD5" w:rsidRDefault="008314A7" w:rsidP="002172CF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  <w:r w:rsidRPr="00314DD5">
        <w:rPr>
          <w:color w:val="000000" w:themeColor="text1"/>
        </w:rPr>
        <w:t xml:space="preserve">a) </w:t>
      </w:r>
      <w:r w:rsidR="00862667" w:rsidRPr="00314DD5">
        <w:rPr>
          <w:b/>
          <w:color w:val="000000" w:themeColor="text1"/>
        </w:rPr>
        <w:t>Painel de Preços:</w:t>
      </w:r>
      <w:r w:rsidR="00862667" w:rsidRPr="00314DD5">
        <w:rPr>
          <w:color w:val="000000" w:themeColor="text1"/>
        </w:rPr>
        <w:t xml:space="preserve"> </w:t>
      </w:r>
      <w:r w:rsidR="002172CF" w:rsidRPr="00314DD5">
        <w:rPr>
          <w:color w:val="000000" w:themeColor="text1"/>
        </w:rPr>
        <w:t xml:space="preserve">Durante a pesquisa realizada no Portal </w:t>
      </w:r>
      <w:hyperlink r:id="rId12" w:tgtFrame="_new" w:history="1">
        <w:r w:rsidR="002172CF" w:rsidRPr="00314DD5">
          <w:rPr>
            <w:rStyle w:val="Hyperlink"/>
            <w:color w:val="000000" w:themeColor="text1"/>
          </w:rPr>
          <w:t>https://paineldeprecos.planejamento.gov.br</w:t>
        </w:r>
      </w:hyperlink>
      <w:r w:rsidR="002172CF" w:rsidRPr="00314DD5">
        <w:rPr>
          <w:color w:val="000000" w:themeColor="text1"/>
        </w:rPr>
        <w:t>, foram identificados registros de preços praticados pela Administração Pública para os serviços de veiculação de spots com duração de 30 segundos. Os valores encontrados, em especial o montante de R$ 49,90 por inserção, foram utilizados como parâmetro comparativo na composição da média de preços.</w:t>
      </w:r>
    </w:p>
    <w:p w:rsidR="002172CF" w:rsidRPr="00314DD5" w:rsidRDefault="002172CF" w:rsidP="002172CF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  <w:r w:rsidRPr="00314DD5">
        <w:rPr>
          <w:color w:val="000000" w:themeColor="text1"/>
        </w:rPr>
        <w:t>Embora o Painel não apresente variações regionais ou detalhamentos específicos quanto ao escopo contratado, sua utilização é válida e recomendada, por se tratar de base oficial, amplamente utilizada no setor público, o que agrega segurança e confiabilidade ao processo estimativo.</w:t>
      </w:r>
    </w:p>
    <w:p w:rsidR="002172CF" w:rsidRPr="00314DD5" w:rsidRDefault="002172CF" w:rsidP="002172CF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  <w:r w:rsidRPr="00314DD5">
        <w:rPr>
          <w:color w:val="000000" w:themeColor="text1"/>
        </w:rPr>
        <w:t>Os dados obtidos no Painel foram considerados na formação da estimativa, atuando como parâmetro adicional para o cálculo da média, a fim de assegurar maior equilíbrio, isonomia e confiabilidade na definição do valor de referência.</w:t>
      </w:r>
    </w:p>
    <w:p w:rsidR="002172CF" w:rsidRPr="00314DD5" w:rsidRDefault="002172CF" w:rsidP="002172CF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  <w:r w:rsidRPr="00314DD5">
        <w:rPr>
          <w:color w:val="000000" w:themeColor="text1"/>
        </w:rPr>
        <w:t>Todos os registros utilizados encontram-se devidamente documentados e anexados, em conformidade com o disposto no art. 368 do Decreto Municipal nº 3.537/2023.</w:t>
      </w:r>
    </w:p>
    <w:p w:rsidR="001A5D99" w:rsidRPr="00314DD5" w:rsidRDefault="001A5D99" w:rsidP="002172CF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</w:p>
    <w:p w:rsidR="00717510" w:rsidRDefault="008314A7" w:rsidP="00075611">
      <w:pPr>
        <w:pStyle w:val="Default"/>
        <w:jc w:val="both"/>
      </w:pPr>
      <w:r w:rsidRPr="00314DD5">
        <w:rPr>
          <w:color w:val="000000" w:themeColor="text1"/>
        </w:rPr>
        <w:t xml:space="preserve">b) </w:t>
      </w:r>
      <w:r w:rsidRPr="00314DD5">
        <w:rPr>
          <w:b/>
          <w:bCs/>
          <w:color w:val="000000" w:themeColor="text1"/>
        </w:rPr>
        <w:t>Portal Nacional de Contratações Públicas (PNCP)</w:t>
      </w:r>
      <w:r w:rsidR="00255060" w:rsidRPr="00314DD5">
        <w:rPr>
          <w:color w:val="000000" w:themeColor="text1"/>
        </w:rPr>
        <w:t xml:space="preserve">: </w:t>
      </w:r>
      <w:r w:rsidR="00717510">
        <w:t xml:space="preserve">Foi realizada pesquisa de preços no </w:t>
      </w:r>
      <w:r w:rsidR="00717510">
        <w:rPr>
          <w:rStyle w:val="Forte"/>
        </w:rPr>
        <w:t>PNCP</w:t>
      </w:r>
      <w:r w:rsidR="00717510">
        <w:t xml:space="preserve">, identificando registros nos Municípios de </w:t>
      </w:r>
      <w:r w:rsidR="00717510">
        <w:rPr>
          <w:rStyle w:val="Forte"/>
        </w:rPr>
        <w:t>Jaguariúna</w:t>
      </w:r>
      <w:r w:rsidR="00717510">
        <w:t xml:space="preserve"> e </w:t>
      </w:r>
      <w:r w:rsidR="00717510">
        <w:rPr>
          <w:rStyle w:val="Forte"/>
        </w:rPr>
        <w:t>Joviânia</w:t>
      </w:r>
      <w:r w:rsidR="00717510">
        <w:t>, ambos referentes à transmissão de inserções diárias (spots) de 30 segundos em horário comercial.</w:t>
      </w:r>
    </w:p>
    <w:p w:rsidR="00717510" w:rsidRDefault="00717510" w:rsidP="00075611">
      <w:pPr>
        <w:pStyle w:val="Default"/>
        <w:jc w:val="both"/>
      </w:pPr>
      <w:r>
        <w:t xml:space="preserve">Os resultados obtidos se mostraram </w:t>
      </w:r>
      <w:r w:rsidRPr="00314DD5">
        <w:rPr>
          <w:color w:val="000000" w:themeColor="text1"/>
        </w:rPr>
        <w:t>coerentes com a realidade de mercado</w:t>
      </w:r>
      <w:r>
        <w:t xml:space="preserve"> e, portanto, foram incorporados como referência válida e complementar na formação da média de preços estimada. Ressalta-se que todos os registros extraídos do PNCP foram devidamente documentados e anexados ao processo, em estrita observância à legislação aplicável.</w:t>
      </w:r>
    </w:p>
    <w:p w:rsidR="00045C8D" w:rsidRPr="00314DD5" w:rsidRDefault="00045C8D" w:rsidP="003D032D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</w:p>
    <w:p w:rsidR="00E92527" w:rsidRPr="00314DD5" w:rsidRDefault="008314A7" w:rsidP="003D032D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314DD5">
        <w:rPr>
          <w:rFonts w:eastAsia="Calibri"/>
          <w:b/>
          <w:color w:val="000000" w:themeColor="text1"/>
          <w:lang w:eastAsia="en-US"/>
        </w:rPr>
        <w:t>II - os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correspondente:</w:t>
      </w:r>
    </w:p>
    <w:p w:rsidR="008A140C" w:rsidRPr="00314DD5" w:rsidRDefault="008A140C" w:rsidP="00960DDC">
      <w:pPr>
        <w:pStyle w:val="Cabealho"/>
        <w:spacing w:line="276" w:lineRule="auto"/>
        <w:ind w:left="0" w:firstLine="0"/>
        <w:jc w:val="both"/>
        <w:rPr>
          <w:color w:val="000000" w:themeColor="text1"/>
        </w:rPr>
      </w:pPr>
      <w:r w:rsidRPr="00314DD5">
        <w:rPr>
          <w:color w:val="000000" w:themeColor="text1"/>
        </w:rPr>
        <w:t xml:space="preserve">A presente pesquisa de preços contemplou contratações homologadas referentes à prestação de serviços de radiodifusão, realizadas pelos Municípios de Porto União, Minas Novas e São Miguel do Iguaçu, dentro do período de referência estabelecido. A análise comparativa dos valores evidencia variações significativas entre as fontes consultadas, com alguns montantes situando-se substancialmente acima e outros abaixo da média. Ainda com tais diferenças, todos os valores obtidos serão considerados para compor a base de cálculo da média de preços </w:t>
      </w:r>
      <w:r w:rsidRPr="00314DD5">
        <w:rPr>
          <w:color w:val="000000" w:themeColor="text1"/>
        </w:rPr>
        <w:lastRenderedPageBreak/>
        <w:t>estimada, de forma a garantir a representatividade e a robustez metodológica da pesquisa. Essa metodologia visa assegurar a observância dos princípios da economicidade, isonomia entre os licitantes e adequação dos parâmetros adotados, resultando em uma média de preços apta a subsidiar, de forma</w:t>
      </w:r>
      <w:r w:rsidR="005A03B6">
        <w:rPr>
          <w:color w:val="000000" w:themeColor="text1"/>
        </w:rPr>
        <w:t xml:space="preserve"> técnica e transparente</w:t>
      </w:r>
      <w:r w:rsidRPr="00314DD5">
        <w:rPr>
          <w:color w:val="000000" w:themeColor="text1"/>
        </w:rPr>
        <w:t xml:space="preserve"> o </w:t>
      </w:r>
      <w:r w:rsidR="005A03B6">
        <w:rPr>
          <w:color w:val="000000" w:themeColor="text1"/>
        </w:rPr>
        <w:t>valor médio praticado de mercado</w:t>
      </w:r>
      <w:r w:rsidRPr="00314DD5">
        <w:rPr>
          <w:color w:val="000000" w:themeColor="text1"/>
        </w:rPr>
        <w:t>. Todos os registros e documentos comprobatórios encontram-se devidamente anexados ao processo.</w:t>
      </w:r>
    </w:p>
    <w:p w:rsidR="00960DDC" w:rsidRPr="00314DD5" w:rsidRDefault="00960DDC" w:rsidP="00960DDC">
      <w:pPr>
        <w:pStyle w:val="Cabealho"/>
        <w:spacing w:line="276" w:lineRule="auto"/>
        <w:ind w:left="0" w:firstLine="0"/>
        <w:jc w:val="both"/>
        <w:rPr>
          <w:color w:val="000000" w:themeColor="text1"/>
        </w:rPr>
      </w:pPr>
    </w:p>
    <w:p w:rsidR="00B6181E" w:rsidRPr="00314DD5" w:rsidRDefault="008314A7" w:rsidP="005230CB">
      <w:pPr>
        <w:pStyle w:val="Cabealho"/>
        <w:spacing w:line="276" w:lineRule="auto"/>
        <w:ind w:left="0" w:firstLine="0"/>
        <w:jc w:val="both"/>
        <w:rPr>
          <w:b/>
          <w:color w:val="000000" w:themeColor="text1"/>
        </w:rPr>
      </w:pPr>
      <w:r w:rsidRPr="00314DD5">
        <w:rPr>
          <w:b/>
          <w:color w:val="000000" w:themeColor="text1"/>
        </w:rPr>
        <w:t>III - a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:rsidR="008D2EB0" w:rsidRPr="00314DD5" w:rsidRDefault="00405911" w:rsidP="00454172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314DD5">
        <w:rPr>
          <w:bCs/>
          <w:color w:val="000000" w:themeColor="text1"/>
        </w:rPr>
        <w:t>N</w:t>
      </w:r>
      <w:r w:rsidR="008D2EB0" w:rsidRPr="00314DD5">
        <w:rPr>
          <w:bCs/>
          <w:color w:val="000000" w:themeColor="text1"/>
        </w:rPr>
        <w:t>ão foi possível obter valores tabelados</w:t>
      </w:r>
      <w:r w:rsidR="008D2EB0" w:rsidRPr="00314DD5">
        <w:rPr>
          <w:color w:val="000000" w:themeColor="text1"/>
        </w:rPr>
        <w:t xml:space="preserve"> em plataformas públicas ou privadas de domínio amplo. Este tipo de serviço, por sua natureza </w:t>
      </w:r>
      <w:r w:rsidR="008D2EB0" w:rsidRPr="00314DD5">
        <w:rPr>
          <w:bCs/>
          <w:color w:val="000000" w:themeColor="text1"/>
        </w:rPr>
        <w:t>não possui precificação padronizada</w:t>
      </w:r>
      <w:r w:rsidR="008D2EB0" w:rsidRPr="00314DD5">
        <w:rPr>
          <w:color w:val="000000" w:themeColor="text1"/>
        </w:rPr>
        <w:t xml:space="preserve"> em sites especializados, sendo usualmente orçado mediante solicitação formal a empresas prestadoras.</w:t>
      </w:r>
    </w:p>
    <w:p w:rsidR="00E123BF" w:rsidRPr="00314DD5" w:rsidRDefault="00E123BF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</w:p>
    <w:p w:rsidR="00B6181E" w:rsidRPr="00314DD5" w:rsidRDefault="008314A7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314DD5">
        <w:rPr>
          <w:rFonts w:eastAsia="Calibri"/>
          <w:b/>
          <w:color w:val="000000" w:themeColor="text1"/>
          <w:lang w:eastAsia="en-US"/>
        </w:rPr>
        <w:t>IV – a pesquisa direta com no mínimo 03 (três) fornecedores ou prestadores de serviços, conforme o caso, desde que seja apresentada justificativa da escolha desses fornecedores:</w:t>
      </w:r>
    </w:p>
    <w:p w:rsidR="00330D54" w:rsidRPr="00314DD5" w:rsidRDefault="00330D54" w:rsidP="00330D54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</w:rPr>
      </w:pPr>
      <w:r w:rsidRPr="00314DD5">
        <w:rPr>
          <w:rFonts w:eastAsia="Calibri"/>
          <w:color w:val="000000" w:themeColor="text1"/>
          <w:kern w:val="2"/>
          <w:lang w:eastAsia="en-US"/>
        </w:rPr>
        <w:t xml:space="preserve">Com o objetivo de complementar a pesquisa de preços, entramos em contato com empresas atuantes nos ramos correspondentes ao objeto demandado. </w:t>
      </w:r>
    </w:p>
    <w:p w:rsidR="00405911" w:rsidRPr="00314DD5" w:rsidRDefault="00405911" w:rsidP="00330D54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</w:rPr>
      </w:pPr>
    </w:p>
    <w:p w:rsidR="00330D54" w:rsidRPr="00314DD5" w:rsidRDefault="00330D54" w:rsidP="00330D54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kern w:val="2"/>
          <w:lang w:eastAsia="en-US"/>
        </w:rPr>
      </w:pPr>
      <w:r w:rsidRPr="00314DD5">
        <w:rPr>
          <w:rFonts w:eastAsia="Calibri"/>
          <w:b/>
          <w:color w:val="000000" w:themeColor="text1"/>
          <w:kern w:val="2"/>
          <w:lang w:eastAsia="en-US"/>
        </w:rPr>
        <w:t>Como resultado, obtivemos retorno da</w:t>
      </w:r>
      <w:r w:rsidR="00405911" w:rsidRPr="00314DD5">
        <w:rPr>
          <w:rFonts w:eastAsia="Calibri"/>
          <w:b/>
          <w:color w:val="000000" w:themeColor="text1"/>
          <w:kern w:val="2"/>
          <w:lang w:eastAsia="en-US"/>
        </w:rPr>
        <w:t xml:space="preserve">s seguintes </w:t>
      </w:r>
      <w:r w:rsidRPr="00314DD5">
        <w:rPr>
          <w:rFonts w:eastAsia="Calibri"/>
          <w:b/>
          <w:color w:val="000000" w:themeColor="text1"/>
          <w:kern w:val="2"/>
          <w:lang w:eastAsia="en-US"/>
        </w:rPr>
        <w:t>empresa:</w:t>
      </w:r>
    </w:p>
    <w:p w:rsidR="00405911" w:rsidRPr="00314DD5" w:rsidRDefault="00405911" w:rsidP="00330D54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</w:rPr>
      </w:pPr>
      <w:r w:rsidRPr="00314DD5">
        <w:rPr>
          <w:rFonts w:eastAsia="Calibri"/>
          <w:color w:val="000000" w:themeColor="text1"/>
          <w:kern w:val="2"/>
          <w:lang w:eastAsia="en-US"/>
        </w:rPr>
        <w:t>RADIO YARA LTDA - 80.367.121/0001-05</w:t>
      </w:r>
    </w:p>
    <w:p w:rsidR="00405911" w:rsidRPr="00314DD5" w:rsidRDefault="00405911" w:rsidP="00330D54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</w:rPr>
      </w:pPr>
      <w:r w:rsidRPr="00314DD5">
        <w:rPr>
          <w:rFonts w:eastAsia="Calibri"/>
          <w:color w:val="000000" w:themeColor="text1"/>
          <w:kern w:val="2"/>
          <w:lang w:eastAsia="en-US"/>
        </w:rPr>
        <w:t>RADIO CABIUNA LTDA - 75.622.308/0001-78</w:t>
      </w:r>
    </w:p>
    <w:p w:rsidR="00FA7319" w:rsidRPr="00314DD5" w:rsidRDefault="009A3174" w:rsidP="009A3174">
      <w:pPr>
        <w:pStyle w:val="NormalWeb"/>
        <w:suppressAutoHyphens/>
        <w:spacing w:before="100" w:after="100"/>
        <w:jc w:val="both"/>
        <w:rPr>
          <w:rFonts w:eastAsia="Calibri"/>
          <w:color w:val="000000" w:themeColor="text1"/>
          <w:lang w:eastAsia="en-US"/>
        </w:rPr>
      </w:pPr>
      <w:r w:rsidRPr="00314DD5">
        <w:rPr>
          <w:color w:val="000000" w:themeColor="text1"/>
        </w:rPr>
        <w:t>O valor do</w:t>
      </w:r>
      <w:r w:rsidR="00405911" w:rsidRPr="00314DD5">
        <w:rPr>
          <w:color w:val="000000" w:themeColor="text1"/>
        </w:rPr>
        <w:t>s</w:t>
      </w:r>
      <w:r w:rsidRPr="00314DD5">
        <w:rPr>
          <w:color w:val="000000" w:themeColor="text1"/>
        </w:rPr>
        <w:t xml:space="preserve"> orçamento</w:t>
      </w:r>
      <w:r w:rsidR="00405911" w:rsidRPr="00314DD5">
        <w:rPr>
          <w:color w:val="000000" w:themeColor="text1"/>
        </w:rPr>
        <w:t>s</w:t>
      </w:r>
      <w:r w:rsidRPr="00314DD5">
        <w:rPr>
          <w:color w:val="000000" w:themeColor="text1"/>
        </w:rPr>
        <w:t xml:space="preserve"> obtido</w:t>
      </w:r>
      <w:r w:rsidR="00405911" w:rsidRPr="00314DD5">
        <w:rPr>
          <w:color w:val="000000" w:themeColor="text1"/>
        </w:rPr>
        <w:t>s foram</w:t>
      </w:r>
      <w:r w:rsidRPr="00314DD5">
        <w:rPr>
          <w:color w:val="000000" w:themeColor="text1"/>
        </w:rPr>
        <w:t xml:space="preserve"> utilizado como base de preço para formulação do preço médio da contratação.</w:t>
      </w:r>
    </w:p>
    <w:p w:rsidR="00B6181E" w:rsidRPr="00314DD5" w:rsidRDefault="008314A7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314DD5">
        <w:rPr>
          <w:rFonts w:eastAsia="Calibri"/>
          <w:b/>
          <w:color w:val="000000" w:themeColor="text1"/>
          <w:lang w:eastAsia="en-US"/>
        </w:rPr>
        <w:t>V - a pesquisa na base nacional de notas fiscais eletrônicas ou no aplicativo Notas Paraná:</w:t>
      </w:r>
    </w:p>
    <w:p w:rsidR="00B6181E" w:rsidRPr="00314DD5" w:rsidRDefault="008314A7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314DD5">
        <w:rPr>
          <w:color w:val="000000" w:themeColor="text1"/>
        </w:rPr>
        <w:t>Foram realizadas as pesquisas no site (</w:t>
      </w:r>
      <w:hyperlink r:id="rId13" w:tgtFrame="_new">
        <w:r w:rsidRPr="00314DD5">
          <w:rPr>
            <w:color w:val="000000" w:themeColor="text1"/>
            <w:u w:val="single"/>
          </w:rPr>
          <w:t>http://www.notaparana.pr.gov.br</w:t>
        </w:r>
      </w:hyperlink>
      <w:r w:rsidRPr="00314DD5">
        <w:rPr>
          <w:color w:val="000000" w:themeColor="text1"/>
        </w:rPr>
        <w:t xml:space="preserve">), entretanto, não foi possível obter informações, conforme demonstrado nos documentos anexos. </w:t>
      </w:r>
    </w:p>
    <w:p w:rsidR="00F82438" w:rsidRPr="00314DD5" w:rsidRDefault="00F82438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:rsidR="00F82438" w:rsidRPr="00314DD5" w:rsidRDefault="00F82438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314DD5">
        <w:rPr>
          <w:b/>
          <w:color w:val="000000" w:themeColor="text1"/>
        </w:rPr>
        <w:t>VI - Os preços de tabelas oficiais:</w:t>
      </w:r>
    </w:p>
    <w:p w:rsidR="00F82438" w:rsidRDefault="00F82438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314DD5">
        <w:rPr>
          <w:color w:val="000000" w:themeColor="text1"/>
        </w:rPr>
        <w:t xml:space="preserve">Não foram encontradas tabelas de preços oficiais, </w:t>
      </w:r>
      <w:r w:rsidR="002C3A4D" w:rsidRPr="00314DD5">
        <w:rPr>
          <w:color w:val="000000" w:themeColor="text1"/>
        </w:rPr>
        <w:t>tampouco</w:t>
      </w:r>
      <w:r w:rsidRPr="00314DD5">
        <w:rPr>
          <w:color w:val="000000" w:themeColor="text1"/>
        </w:rPr>
        <w:t xml:space="preserve"> foram encontrados valores aproximados uma vez que as empresas </w:t>
      </w:r>
      <w:r w:rsidR="002C3A4D" w:rsidRPr="00314DD5">
        <w:rPr>
          <w:color w:val="000000" w:themeColor="text1"/>
        </w:rPr>
        <w:t xml:space="preserve">não </w:t>
      </w:r>
      <w:r w:rsidRPr="00314DD5">
        <w:rPr>
          <w:color w:val="000000" w:themeColor="text1"/>
        </w:rPr>
        <w:t>aplicam valores médios de mercado</w:t>
      </w:r>
      <w:r w:rsidR="002C3A4D" w:rsidRPr="00314DD5">
        <w:rPr>
          <w:color w:val="000000" w:themeColor="text1"/>
        </w:rPr>
        <w:t xml:space="preserve"> como explicado no item III deste documento</w:t>
      </w:r>
      <w:r w:rsidRPr="00314DD5">
        <w:rPr>
          <w:color w:val="000000" w:themeColor="text1"/>
        </w:rPr>
        <w:t>.</w:t>
      </w:r>
    </w:p>
    <w:p w:rsidR="00643031" w:rsidRPr="00314DD5" w:rsidRDefault="00643031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:rsidR="005230CB" w:rsidRDefault="005230CB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314DD5">
        <w:rPr>
          <w:b/>
          <w:color w:val="000000" w:themeColor="text1"/>
        </w:rPr>
        <w:t>CONCLUSÃO</w:t>
      </w:r>
    </w:p>
    <w:p w:rsidR="004366F0" w:rsidRPr="00314DD5" w:rsidRDefault="004366F0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:rsidR="004366F0" w:rsidRDefault="00860E8C" w:rsidP="004366F0">
      <w:pPr>
        <w:spacing w:line="276" w:lineRule="auto"/>
        <w:ind w:left="0" w:firstLine="0"/>
        <w:jc w:val="both"/>
        <w:textAlignment w:val="auto"/>
        <w:outlineLvl w:val="9"/>
        <w:rPr>
          <w:position w:val="0"/>
        </w:rPr>
      </w:pPr>
      <w:r w:rsidRPr="00860E8C">
        <w:rPr>
          <w:position w:val="0"/>
        </w:rPr>
        <w:t>As pesquisas de preços realizadas em bases oficiais e reconhecidas, como o Painel de</w:t>
      </w:r>
      <w:r w:rsidR="004366F0">
        <w:rPr>
          <w:position w:val="0"/>
        </w:rPr>
        <w:t xml:space="preserve"> Preços, </w:t>
      </w:r>
      <w:r w:rsidRPr="00860E8C">
        <w:rPr>
          <w:position w:val="0"/>
        </w:rPr>
        <w:t xml:space="preserve">Portal Nacional de Contratações Públicas (PNCP), contratações públicas anteriores e cotações </w:t>
      </w:r>
      <w:r w:rsidRPr="00860E8C">
        <w:rPr>
          <w:position w:val="0"/>
        </w:rPr>
        <w:lastRenderedPageBreak/>
        <w:t xml:space="preserve">obtidas junto a fornecedores, evidenciaram variações significativas entre os valores praticados no mercado para serviços similares. </w:t>
      </w:r>
    </w:p>
    <w:p w:rsidR="00860E8C" w:rsidRPr="00860E8C" w:rsidRDefault="00860E8C" w:rsidP="004366F0">
      <w:pPr>
        <w:spacing w:line="276" w:lineRule="auto"/>
        <w:ind w:left="0" w:firstLine="0"/>
        <w:jc w:val="both"/>
        <w:textAlignment w:val="auto"/>
        <w:outlineLvl w:val="9"/>
        <w:rPr>
          <w:position w:val="0"/>
        </w:rPr>
      </w:pPr>
      <w:r w:rsidRPr="00860E8C">
        <w:rPr>
          <w:position w:val="0"/>
        </w:rPr>
        <w:t xml:space="preserve">Contudo, a análise comparativa demonstra que o valor estipulado no </w:t>
      </w:r>
      <w:r w:rsidRPr="004366F0">
        <w:rPr>
          <w:bCs/>
          <w:position w:val="0"/>
        </w:rPr>
        <w:t>Decreto Municipal nº 3.853/2025</w:t>
      </w:r>
      <w:r w:rsidRPr="00860E8C">
        <w:rPr>
          <w:position w:val="0"/>
        </w:rPr>
        <w:t>, correspondente a R$ 18,00 (dezoito reais) para cada inserção de 30 (trinta) segundos, encontra-se compatível com a realidade de mercado, apresentando-se inclusive em patamar inferior a diversas referências identificadas.</w:t>
      </w:r>
    </w:p>
    <w:p w:rsidR="00860E8C" w:rsidRPr="00860E8C" w:rsidRDefault="00860E8C" w:rsidP="004366F0">
      <w:pPr>
        <w:spacing w:line="276" w:lineRule="auto"/>
        <w:ind w:left="0" w:firstLine="0"/>
        <w:jc w:val="both"/>
        <w:textAlignment w:val="auto"/>
        <w:outlineLvl w:val="9"/>
        <w:rPr>
          <w:position w:val="0"/>
        </w:rPr>
      </w:pPr>
      <w:r w:rsidRPr="00860E8C">
        <w:rPr>
          <w:position w:val="0"/>
        </w:rPr>
        <w:t xml:space="preserve">Assim, em observância ao disposto nos arts. 23, 40 e 47 da </w:t>
      </w:r>
      <w:r w:rsidRPr="004366F0">
        <w:rPr>
          <w:bCs/>
          <w:position w:val="0"/>
        </w:rPr>
        <w:t>Lei nº 14.133/2021</w:t>
      </w:r>
      <w:r w:rsidRPr="00860E8C">
        <w:rPr>
          <w:position w:val="0"/>
        </w:rPr>
        <w:t>, restou demonstrado que o referido decreto pode e deve ser adotado como parâmetro oficial para a formação do valor estimado da contratação, conferindo à Administração segurança jurídica, transparência na definição do preço de referência, economicidade na aplicação dos recursos públicos e aderência às práticas de mercado, em estrita consonância com os princípios da isonomia, da publicidade e da eficiência.</w:t>
      </w:r>
    </w:p>
    <w:p w:rsidR="00860E8C" w:rsidRPr="00314DD5" w:rsidRDefault="00860E8C" w:rsidP="00860E8C">
      <w:pPr>
        <w:spacing w:line="240" w:lineRule="auto"/>
        <w:ind w:left="0" w:firstLine="0"/>
        <w:jc w:val="both"/>
        <w:textAlignment w:val="auto"/>
        <w:outlineLvl w:val="9"/>
        <w:rPr>
          <w:bCs/>
          <w:color w:val="000000" w:themeColor="text1"/>
          <w:lang w:eastAsia="ar-SA"/>
        </w:rPr>
      </w:pPr>
    </w:p>
    <w:p w:rsidR="00B6181E" w:rsidRPr="00314DD5" w:rsidRDefault="00701655" w:rsidP="00F77451">
      <w:pPr>
        <w:spacing w:line="240" w:lineRule="auto"/>
        <w:ind w:left="0" w:firstLine="0"/>
        <w:jc w:val="right"/>
        <w:textAlignment w:val="auto"/>
        <w:outlineLvl w:val="9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314DD5">
        <w:rPr>
          <w:bCs/>
          <w:color w:val="000000" w:themeColor="text1"/>
          <w:lang w:eastAsia="ar-SA"/>
        </w:rPr>
        <w:t xml:space="preserve">Bandeirantes, </w:t>
      </w:r>
      <w:r w:rsidR="00DB51C4">
        <w:rPr>
          <w:bCs/>
          <w:color w:val="000000" w:themeColor="text1"/>
          <w:lang w:eastAsia="ar-SA"/>
        </w:rPr>
        <w:t>30</w:t>
      </w:r>
      <w:r w:rsidR="00405911" w:rsidRPr="00314DD5">
        <w:rPr>
          <w:bCs/>
          <w:color w:val="000000" w:themeColor="text1"/>
          <w:lang w:eastAsia="ar-SA"/>
        </w:rPr>
        <w:t xml:space="preserve"> </w:t>
      </w:r>
      <w:r w:rsidR="008314A7" w:rsidRPr="00314DD5">
        <w:rPr>
          <w:bCs/>
          <w:color w:val="000000" w:themeColor="text1"/>
          <w:lang w:eastAsia="ar-SA"/>
        </w:rPr>
        <w:t xml:space="preserve">de </w:t>
      </w:r>
      <w:r w:rsidR="004366F0">
        <w:rPr>
          <w:bCs/>
          <w:color w:val="000000" w:themeColor="text1"/>
          <w:lang w:eastAsia="ar-SA"/>
        </w:rPr>
        <w:t>setembro</w:t>
      </w:r>
      <w:r w:rsidR="00F77451" w:rsidRPr="00314DD5">
        <w:rPr>
          <w:bCs/>
          <w:color w:val="000000" w:themeColor="text1"/>
          <w:lang w:eastAsia="ar-SA"/>
        </w:rPr>
        <w:t xml:space="preserve"> de 2025</w:t>
      </w:r>
    </w:p>
    <w:p w:rsidR="00360B32" w:rsidRPr="00314DD5" w:rsidRDefault="0085313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      </w:t>
      </w:r>
    </w:p>
    <w:p w:rsidR="00B6181E" w:rsidRPr="00314DD5" w:rsidRDefault="00B6181E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EB2376" w:rsidRPr="00314DD5" w:rsidRDefault="00EB237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EB2376" w:rsidRPr="00314DD5" w:rsidRDefault="00EB237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B6181E" w:rsidRPr="00314DD5" w:rsidRDefault="00B6181E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0B4A56" w:rsidRPr="00314DD5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0B4A56" w:rsidRPr="00314DD5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bookmarkStart w:id="1" w:name="_GoBack"/>
      <w:bookmarkEnd w:id="1"/>
    </w:p>
    <w:p w:rsidR="000B4A56" w:rsidRPr="00314DD5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0B4A56" w:rsidRPr="00314DD5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:rsidR="00B11318" w:rsidRPr="00314DD5" w:rsidRDefault="00BA3A2C" w:rsidP="00B11318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b/>
          <w:iCs/>
          <w:color w:val="000000" w:themeColor="text1"/>
          <w:lang w:eastAsia="en-US"/>
        </w:rPr>
      </w:pPr>
      <w:r w:rsidRPr="00314DD5">
        <w:rPr>
          <w:rFonts w:eastAsia="Calibri"/>
          <w:b/>
          <w:iCs/>
          <w:color w:val="000000" w:themeColor="text1"/>
          <w:lang w:eastAsia="en-US"/>
        </w:rPr>
        <w:t>HERCULES AUGUSTO GARCIA FIGUEIRA</w:t>
      </w:r>
    </w:p>
    <w:p w:rsidR="00B6181E" w:rsidRPr="00314DD5" w:rsidRDefault="00B11318" w:rsidP="00866EC7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iCs/>
          <w:color w:val="000000" w:themeColor="text1"/>
          <w:lang w:eastAsia="en-US"/>
        </w:rPr>
      </w:pPr>
      <w:r w:rsidRPr="00314DD5">
        <w:rPr>
          <w:rFonts w:eastAsia="Calibri"/>
          <w:iCs/>
          <w:color w:val="000000" w:themeColor="text1"/>
          <w:lang w:eastAsia="en-US"/>
        </w:rPr>
        <w:t>Chefe da Divisão de Orçamentos e Pesquisa de Preços</w:t>
      </w:r>
    </w:p>
    <w:p w:rsidR="00BA3A2C" w:rsidRDefault="00BA3A2C" w:rsidP="00866EC7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iCs/>
          <w:color w:val="000000" w:themeColor="text1"/>
          <w:lang w:eastAsia="en-US"/>
        </w:rPr>
      </w:pPr>
      <w:r w:rsidRPr="00314DD5">
        <w:rPr>
          <w:rFonts w:eastAsia="Calibri"/>
          <w:iCs/>
          <w:color w:val="000000" w:themeColor="text1"/>
          <w:lang w:eastAsia="en-US"/>
        </w:rPr>
        <w:t>Portaria 15.</w:t>
      </w:r>
      <w:r w:rsidR="00D84C98" w:rsidRPr="00314DD5">
        <w:rPr>
          <w:rFonts w:eastAsia="Calibri"/>
          <w:iCs/>
          <w:color w:val="000000" w:themeColor="text1"/>
          <w:lang w:eastAsia="en-US"/>
        </w:rPr>
        <w:t>186</w:t>
      </w:r>
      <w:r w:rsidRPr="00314DD5">
        <w:rPr>
          <w:rFonts w:eastAsia="Calibri"/>
          <w:iCs/>
          <w:color w:val="000000" w:themeColor="text1"/>
          <w:lang w:eastAsia="en-US"/>
        </w:rPr>
        <w:t xml:space="preserve">/2025 </w:t>
      </w:r>
      <w:r w:rsidRPr="00314DD5">
        <w:rPr>
          <w:rFonts w:eastAsia="Calibri"/>
          <w:iCs/>
          <w:color w:val="000000" w:themeColor="text1"/>
          <w:lang w:eastAsia="en-US"/>
        </w:rPr>
        <w:cr/>
      </w:r>
    </w:p>
    <w:p w:rsidR="005A03B6" w:rsidRDefault="005A03B6" w:rsidP="00866EC7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iCs/>
          <w:color w:val="000000" w:themeColor="text1"/>
          <w:lang w:eastAsia="en-US"/>
        </w:rPr>
      </w:pPr>
    </w:p>
    <w:p w:rsidR="00860E8C" w:rsidRDefault="00860E8C" w:rsidP="00643031">
      <w:pPr>
        <w:spacing w:after="60" w:line="240" w:lineRule="auto"/>
        <w:ind w:left="0" w:firstLine="0"/>
        <w:jc w:val="both"/>
        <w:textAlignment w:val="auto"/>
        <w:outlineLvl w:val="1"/>
        <w:rPr>
          <w:color w:val="000000" w:themeColor="text1"/>
        </w:rPr>
      </w:pPr>
    </w:p>
    <w:p w:rsidR="00860E8C" w:rsidRDefault="00860E8C" w:rsidP="00643031">
      <w:pPr>
        <w:spacing w:after="60" w:line="240" w:lineRule="auto"/>
        <w:ind w:left="0" w:firstLine="0"/>
        <w:jc w:val="both"/>
        <w:textAlignment w:val="auto"/>
        <w:outlineLvl w:val="1"/>
        <w:rPr>
          <w:color w:val="000000" w:themeColor="text1"/>
        </w:rPr>
      </w:pPr>
    </w:p>
    <w:sectPr w:rsidR="00860E8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410" w:right="1701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501" w:rsidRDefault="00601501">
      <w:pPr>
        <w:spacing w:line="240" w:lineRule="auto"/>
      </w:pPr>
      <w:r>
        <w:separator/>
      </w:r>
    </w:p>
  </w:endnote>
  <w:endnote w:type="continuationSeparator" w:id="0">
    <w:p w:rsidR="00601501" w:rsidRDefault="006015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pStyle w:val="Rodap"/>
      <w:ind w:left="0" w:hanging="2"/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501" w:rsidRDefault="00601501">
      <w:pPr>
        <w:spacing w:line="240" w:lineRule="auto"/>
      </w:pPr>
      <w:r>
        <w:separator/>
      </w:r>
    </w:p>
  </w:footnote>
  <w:footnote w:type="continuationSeparator" w:id="0">
    <w:p w:rsidR="00601501" w:rsidRDefault="006015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1" name="image1.pn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9264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145405" cy="1078230"/>
              <wp:effectExtent l="0" t="0" r="0" b="825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6181E" w:rsidRDefault="008314A7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B6181E" w:rsidRDefault="008314A7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B6181E" w:rsidRDefault="00B6181E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2" o:spid="_x0000_s1026" style="position:absolute;margin-left:0;margin-top:.05pt;width:405.15pt;height:84.9pt;z-index:-251657216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" filled="f" stroked="f" strokeweight="0">
              <v:textbox>
                <w:txbxContent>
                  <w:p w:rsidR="00B6181E" w:rsidRDefault="008314A7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B6181E" w:rsidRDefault="008314A7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B6181E" w:rsidRDefault="00B6181E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:rsidR="00B6181E" w:rsidRDefault="00B6181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168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7216" behindDoc="1" locked="0" layoutInCell="1" allowOverlap="1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4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6181E" w:rsidRDefault="008314A7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B6181E" w:rsidRDefault="008314A7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B6181E" w:rsidRDefault="00B6181E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3" o:spid="_x0000_s1027" style="position:absolute;margin-left:57.7pt;margin-top:-8.05pt;width:405.15pt;height:84.9pt;z-index:-251659264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" filled="f" stroked="f" strokeweight="0">
              <v:textbox>
                <w:txbxContent>
                  <w:p w:rsidR="00B6181E" w:rsidRDefault="008314A7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B6181E" w:rsidRDefault="008314A7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B6181E" w:rsidRDefault="00B6181E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:rsidR="00B6181E" w:rsidRDefault="00B6181E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6192" behindDoc="1" locked="0" layoutInCell="1" allowOverlap="1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8240" behindDoc="1" locked="0" layoutInCell="1" allowOverlap="1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6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6181E" w:rsidRDefault="008314A7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:rsidR="00B6181E" w:rsidRDefault="008314A7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B6181E" w:rsidRDefault="00B6181E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8" style="position:absolute;margin-left:57.7pt;margin-top:-8.05pt;width:405.15pt;height:84.9pt;z-index:-251658240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" filled="f" stroked="f" strokeweight="0">
              <v:textbox>
                <w:txbxContent>
                  <w:p w:rsidR="00B6181E" w:rsidRDefault="008314A7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B6181E" w:rsidRDefault="008314A7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B6181E" w:rsidRDefault="00B6181E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:rsidR="00B6181E" w:rsidRDefault="00B6181E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8071F"/>
    <w:multiLevelType w:val="multilevel"/>
    <w:tmpl w:val="C8DE9D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233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DD5CDF"/>
    <w:multiLevelType w:val="multilevel"/>
    <w:tmpl w:val="4618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1C0201"/>
    <w:multiLevelType w:val="multilevel"/>
    <w:tmpl w:val="18AAA304"/>
    <w:lvl w:ilvl="0">
      <w:start w:val="5"/>
      <w:numFmt w:val="decimal"/>
      <w:suff w:val="space"/>
      <w:lvlText w:val="%1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6FA6E17"/>
    <w:multiLevelType w:val="multilevel"/>
    <w:tmpl w:val="515238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97F1671"/>
    <w:multiLevelType w:val="multilevel"/>
    <w:tmpl w:val="515238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A4566F6"/>
    <w:multiLevelType w:val="multilevel"/>
    <w:tmpl w:val="8C82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FC34D5"/>
    <w:multiLevelType w:val="hybridMultilevel"/>
    <w:tmpl w:val="1744E7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F14481"/>
    <w:multiLevelType w:val="hybridMultilevel"/>
    <w:tmpl w:val="6A164B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0459E"/>
    <w:multiLevelType w:val="hybridMultilevel"/>
    <w:tmpl w:val="FAB471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8B4FDD"/>
    <w:multiLevelType w:val="multilevel"/>
    <w:tmpl w:val="8C82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2426FF"/>
    <w:multiLevelType w:val="multilevel"/>
    <w:tmpl w:val="56E0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DE590D"/>
    <w:multiLevelType w:val="multilevel"/>
    <w:tmpl w:val="A88212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13">
    <w:nsid w:val="6D0C3D98"/>
    <w:multiLevelType w:val="multilevel"/>
    <w:tmpl w:val="7C90273A"/>
    <w:lvl w:ilvl="0">
      <w:start w:val="1"/>
      <w:numFmt w:val="bullet"/>
      <w:lvlText w:val=""/>
      <w:lvlJc w:val="left"/>
      <w:pPr>
        <w:tabs>
          <w:tab w:val="num" w:pos="0"/>
        </w:tabs>
        <w:ind w:left="38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5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2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9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7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4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1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8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599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11"/>
  </w:num>
  <w:num w:numId="11">
    <w:abstractNumId w:val="10"/>
  </w:num>
  <w:num w:numId="12">
    <w:abstractNumId w:val="4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1E"/>
    <w:rsid w:val="00003542"/>
    <w:rsid w:val="00012478"/>
    <w:rsid w:val="00015D95"/>
    <w:rsid w:val="00025980"/>
    <w:rsid w:val="00037301"/>
    <w:rsid w:val="00045C8D"/>
    <w:rsid w:val="00045E3D"/>
    <w:rsid w:val="000505C7"/>
    <w:rsid w:val="0007072F"/>
    <w:rsid w:val="00075611"/>
    <w:rsid w:val="000902BA"/>
    <w:rsid w:val="000A30C1"/>
    <w:rsid w:val="000A41AD"/>
    <w:rsid w:val="000B1D84"/>
    <w:rsid w:val="000B4A56"/>
    <w:rsid w:val="000C17D0"/>
    <w:rsid w:val="000C49C6"/>
    <w:rsid w:val="000C6EE5"/>
    <w:rsid w:val="000D6303"/>
    <w:rsid w:val="000F3FDF"/>
    <w:rsid w:val="000F7FD9"/>
    <w:rsid w:val="00107E09"/>
    <w:rsid w:val="001212C9"/>
    <w:rsid w:val="00151E61"/>
    <w:rsid w:val="00165E30"/>
    <w:rsid w:val="001824A8"/>
    <w:rsid w:val="00191C58"/>
    <w:rsid w:val="001A5D99"/>
    <w:rsid w:val="001A73BA"/>
    <w:rsid w:val="001B6369"/>
    <w:rsid w:val="001C741A"/>
    <w:rsid w:val="001E62BE"/>
    <w:rsid w:val="001F3DED"/>
    <w:rsid w:val="001F4284"/>
    <w:rsid w:val="0020169B"/>
    <w:rsid w:val="00204F08"/>
    <w:rsid w:val="002172CF"/>
    <w:rsid w:val="00227EF8"/>
    <w:rsid w:val="00240D63"/>
    <w:rsid w:val="00250D66"/>
    <w:rsid w:val="00255060"/>
    <w:rsid w:val="00275619"/>
    <w:rsid w:val="00277375"/>
    <w:rsid w:val="00295345"/>
    <w:rsid w:val="0029615B"/>
    <w:rsid w:val="00297749"/>
    <w:rsid w:val="002A6B79"/>
    <w:rsid w:val="002B73FF"/>
    <w:rsid w:val="002C3A4D"/>
    <w:rsid w:val="002C6795"/>
    <w:rsid w:val="002D0444"/>
    <w:rsid w:val="002E0C46"/>
    <w:rsid w:val="002E4C77"/>
    <w:rsid w:val="002F2947"/>
    <w:rsid w:val="002F613D"/>
    <w:rsid w:val="002F6558"/>
    <w:rsid w:val="002F66B8"/>
    <w:rsid w:val="00303FCA"/>
    <w:rsid w:val="003050A1"/>
    <w:rsid w:val="00314DD5"/>
    <w:rsid w:val="00314FFA"/>
    <w:rsid w:val="003253DF"/>
    <w:rsid w:val="00327AC9"/>
    <w:rsid w:val="00330603"/>
    <w:rsid w:val="00330A67"/>
    <w:rsid w:val="00330D54"/>
    <w:rsid w:val="0035429E"/>
    <w:rsid w:val="00356926"/>
    <w:rsid w:val="00360B32"/>
    <w:rsid w:val="0036692F"/>
    <w:rsid w:val="00367E4C"/>
    <w:rsid w:val="00370D47"/>
    <w:rsid w:val="003820E1"/>
    <w:rsid w:val="003918CA"/>
    <w:rsid w:val="00392012"/>
    <w:rsid w:val="003C2293"/>
    <w:rsid w:val="003C47E0"/>
    <w:rsid w:val="003C5036"/>
    <w:rsid w:val="003C56C1"/>
    <w:rsid w:val="003D032D"/>
    <w:rsid w:val="003D2920"/>
    <w:rsid w:val="003D4D5D"/>
    <w:rsid w:val="003E7674"/>
    <w:rsid w:val="00401D88"/>
    <w:rsid w:val="00402D36"/>
    <w:rsid w:val="00405911"/>
    <w:rsid w:val="00412BDB"/>
    <w:rsid w:val="00421F89"/>
    <w:rsid w:val="0042207D"/>
    <w:rsid w:val="0043101C"/>
    <w:rsid w:val="00432072"/>
    <w:rsid w:val="004353DF"/>
    <w:rsid w:val="004366F0"/>
    <w:rsid w:val="004436A9"/>
    <w:rsid w:val="00445184"/>
    <w:rsid w:val="00454172"/>
    <w:rsid w:val="0046472A"/>
    <w:rsid w:val="004661FE"/>
    <w:rsid w:val="00473547"/>
    <w:rsid w:val="004A10BC"/>
    <w:rsid w:val="004A1C6B"/>
    <w:rsid w:val="004B35DC"/>
    <w:rsid w:val="004B7D8F"/>
    <w:rsid w:val="004C1640"/>
    <w:rsid w:val="004E1FD1"/>
    <w:rsid w:val="004E738A"/>
    <w:rsid w:val="00503334"/>
    <w:rsid w:val="00504AA9"/>
    <w:rsid w:val="005230CB"/>
    <w:rsid w:val="0053474B"/>
    <w:rsid w:val="00534D9B"/>
    <w:rsid w:val="00541FD1"/>
    <w:rsid w:val="00546244"/>
    <w:rsid w:val="00583D3B"/>
    <w:rsid w:val="0058718E"/>
    <w:rsid w:val="005952F4"/>
    <w:rsid w:val="005976B8"/>
    <w:rsid w:val="005A03B6"/>
    <w:rsid w:val="005A18F5"/>
    <w:rsid w:val="005A7FBE"/>
    <w:rsid w:val="005C3299"/>
    <w:rsid w:val="005F266F"/>
    <w:rsid w:val="005F7507"/>
    <w:rsid w:val="00601501"/>
    <w:rsid w:val="006070A6"/>
    <w:rsid w:val="00610AF4"/>
    <w:rsid w:val="0062095C"/>
    <w:rsid w:val="00622A04"/>
    <w:rsid w:val="00622B7F"/>
    <w:rsid w:val="0062601B"/>
    <w:rsid w:val="00643031"/>
    <w:rsid w:val="00643F6E"/>
    <w:rsid w:val="00646FC8"/>
    <w:rsid w:val="0066028A"/>
    <w:rsid w:val="0066516D"/>
    <w:rsid w:val="006844B4"/>
    <w:rsid w:val="00697A0F"/>
    <w:rsid w:val="006A3226"/>
    <w:rsid w:val="006B25C1"/>
    <w:rsid w:val="006D67AF"/>
    <w:rsid w:val="006E10C3"/>
    <w:rsid w:val="006E1682"/>
    <w:rsid w:val="006E6E76"/>
    <w:rsid w:val="00701655"/>
    <w:rsid w:val="00714192"/>
    <w:rsid w:val="00717510"/>
    <w:rsid w:val="00717EA1"/>
    <w:rsid w:val="00724A8A"/>
    <w:rsid w:val="007273D4"/>
    <w:rsid w:val="00727C08"/>
    <w:rsid w:val="00744EE7"/>
    <w:rsid w:val="00752708"/>
    <w:rsid w:val="00756604"/>
    <w:rsid w:val="00766915"/>
    <w:rsid w:val="00796B0B"/>
    <w:rsid w:val="007A4AC1"/>
    <w:rsid w:val="007B090D"/>
    <w:rsid w:val="007B13D7"/>
    <w:rsid w:val="007D1159"/>
    <w:rsid w:val="007E5D8F"/>
    <w:rsid w:val="007F1634"/>
    <w:rsid w:val="007F5E37"/>
    <w:rsid w:val="00811CA4"/>
    <w:rsid w:val="00811FFD"/>
    <w:rsid w:val="00823A2F"/>
    <w:rsid w:val="008314A7"/>
    <w:rsid w:val="00844871"/>
    <w:rsid w:val="00853136"/>
    <w:rsid w:val="00860E8C"/>
    <w:rsid w:val="00862667"/>
    <w:rsid w:val="00866EC7"/>
    <w:rsid w:val="00867843"/>
    <w:rsid w:val="00872824"/>
    <w:rsid w:val="00874DA2"/>
    <w:rsid w:val="0089224B"/>
    <w:rsid w:val="0089249A"/>
    <w:rsid w:val="0089667E"/>
    <w:rsid w:val="008A00C2"/>
    <w:rsid w:val="008A140C"/>
    <w:rsid w:val="008A372C"/>
    <w:rsid w:val="008B013E"/>
    <w:rsid w:val="008B1A29"/>
    <w:rsid w:val="008C2835"/>
    <w:rsid w:val="008D2EB0"/>
    <w:rsid w:val="008F62BF"/>
    <w:rsid w:val="00903C0D"/>
    <w:rsid w:val="00906A94"/>
    <w:rsid w:val="0090710C"/>
    <w:rsid w:val="0090796F"/>
    <w:rsid w:val="0094064E"/>
    <w:rsid w:val="009406D9"/>
    <w:rsid w:val="00943B48"/>
    <w:rsid w:val="00960DDC"/>
    <w:rsid w:val="00962971"/>
    <w:rsid w:val="009713FB"/>
    <w:rsid w:val="00972A96"/>
    <w:rsid w:val="00973474"/>
    <w:rsid w:val="00980EC8"/>
    <w:rsid w:val="009A3174"/>
    <w:rsid w:val="009B1C32"/>
    <w:rsid w:val="009B4013"/>
    <w:rsid w:val="009D645A"/>
    <w:rsid w:val="009D7FFC"/>
    <w:rsid w:val="009E1B22"/>
    <w:rsid w:val="009E684E"/>
    <w:rsid w:val="009F01DA"/>
    <w:rsid w:val="009F4E0D"/>
    <w:rsid w:val="009F4EAF"/>
    <w:rsid w:val="009F5480"/>
    <w:rsid w:val="00A038E9"/>
    <w:rsid w:val="00A108D9"/>
    <w:rsid w:val="00A173E5"/>
    <w:rsid w:val="00A34B82"/>
    <w:rsid w:val="00A4026C"/>
    <w:rsid w:val="00A6624A"/>
    <w:rsid w:val="00A73A00"/>
    <w:rsid w:val="00A81155"/>
    <w:rsid w:val="00A87B1A"/>
    <w:rsid w:val="00A90A1B"/>
    <w:rsid w:val="00A97CCB"/>
    <w:rsid w:val="00AA6B86"/>
    <w:rsid w:val="00AC2D76"/>
    <w:rsid w:val="00AC57B0"/>
    <w:rsid w:val="00AD42F4"/>
    <w:rsid w:val="00AE14A0"/>
    <w:rsid w:val="00AE230D"/>
    <w:rsid w:val="00AE4B8A"/>
    <w:rsid w:val="00AF0EE4"/>
    <w:rsid w:val="00AF566D"/>
    <w:rsid w:val="00B11318"/>
    <w:rsid w:val="00B20B03"/>
    <w:rsid w:val="00B27BF6"/>
    <w:rsid w:val="00B42A03"/>
    <w:rsid w:val="00B430CC"/>
    <w:rsid w:val="00B452BA"/>
    <w:rsid w:val="00B56A25"/>
    <w:rsid w:val="00B6181E"/>
    <w:rsid w:val="00B66DA4"/>
    <w:rsid w:val="00B8597F"/>
    <w:rsid w:val="00BA3A2C"/>
    <w:rsid w:val="00BB2D87"/>
    <w:rsid w:val="00BB3648"/>
    <w:rsid w:val="00BB4892"/>
    <w:rsid w:val="00BC1120"/>
    <w:rsid w:val="00BC7430"/>
    <w:rsid w:val="00BC7B31"/>
    <w:rsid w:val="00C04C05"/>
    <w:rsid w:val="00C1354F"/>
    <w:rsid w:val="00C30655"/>
    <w:rsid w:val="00C36E4B"/>
    <w:rsid w:val="00C75090"/>
    <w:rsid w:val="00C93378"/>
    <w:rsid w:val="00C95B17"/>
    <w:rsid w:val="00CA02D2"/>
    <w:rsid w:val="00CA620D"/>
    <w:rsid w:val="00CB562F"/>
    <w:rsid w:val="00CC4616"/>
    <w:rsid w:val="00CC73D5"/>
    <w:rsid w:val="00CD6E35"/>
    <w:rsid w:val="00CD7020"/>
    <w:rsid w:val="00CD7B6E"/>
    <w:rsid w:val="00CE0724"/>
    <w:rsid w:val="00CE3696"/>
    <w:rsid w:val="00D01640"/>
    <w:rsid w:val="00D04136"/>
    <w:rsid w:val="00D058C8"/>
    <w:rsid w:val="00D144E9"/>
    <w:rsid w:val="00D37233"/>
    <w:rsid w:val="00D42E55"/>
    <w:rsid w:val="00D4761D"/>
    <w:rsid w:val="00D47F5A"/>
    <w:rsid w:val="00D53E54"/>
    <w:rsid w:val="00D62BF0"/>
    <w:rsid w:val="00D67A2C"/>
    <w:rsid w:val="00D73FC9"/>
    <w:rsid w:val="00D842CF"/>
    <w:rsid w:val="00D84C98"/>
    <w:rsid w:val="00D8779D"/>
    <w:rsid w:val="00D94588"/>
    <w:rsid w:val="00D9494E"/>
    <w:rsid w:val="00DB0D75"/>
    <w:rsid w:val="00DB21A5"/>
    <w:rsid w:val="00DB51C4"/>
    <w:rsid w:val="00DC0FBC"/>
    <w:rsid w:val="00DC2172"/>
    <w:rsid w:val="00DC59FA"/>
    <w:rsid w:val="00DE0746"/>
    <w:rsid w:val="00DE2E3F"/>
    <w:rsid w:val="00DF2B2D"/>
    <w:rsid w:val="00E123BF"/>
    <w:rsid w:val="00E12889"/>
    <w:rsid w:val="00E12B2B"/>
    <w:rsid w:val="00E308B0"/>
    <w:rsid w:val="00E56A37"/>
    <w:rsid w:val="00E62F50"/>
    <w:rsid w:val="00E662C6"/>
    <w:rsid w:val="00E70C86"/>
    <w:rsid w:val="00E82120"/>
    <w:rsid w:val="00E82AA0"/>
    <w:rsid w:val="00E92527"/>
    <w:rsid w:val="00EB2376"/>
    <w:rsid w:val="00EB4E80"/>
    <w:rsid w:val="00EC03F0"/>
    <w:rsid w:val="00EC1EF4"/>
    <w:rsid w:val="00EC20C8"/>
    <w:rsid w:val="00ED02B6"/>
    <w:rsid w:val="00ED0CC2"/>
    <w:rsid w:val="00ED2590"/>
    <w:rsid w:val="00ED4804"/>
    <w:rsid w:val="00ED65E6"/>
    <w:rsid w:val="00EE4452"/>
    <w:rsid w:val="00EF483D"/>
    <w:rsid w:val="00F02751"/>
    <w:rsid w:val="00F1106E"/>
    <w:rsid w:val="00F14463"/>
    <w:rsid w:val="00F14EE3"/>
    <w:rsid w:val="00F1581D"/>
    <w:rsid w:val="00F203AC"/>
    <w:rsid w:val="00F22152"/>
    <w:rsid w:val="00F24E52"/>
    <w:rsid w:val="00F338E6"/>
    <w:rsid w:val="00F405BA"/>
    <w:rsid w:val="00F45E5F"/>
    <w:rsid w:val="00F512F8"/>
    <w:rsid w:val="00F65821"/>
    <w:rsid w:val="00F65EFC"/>
    <w:rsid w:val="00F7360D"/>
    <w:rsid w:val="00F77451"/>
    <w:rsid w:val="00F82438"/>
    <w:rsid w:val="00F972F0"/>
    <w:rsid w:val="00FA7319"/>
    <w:rsid w:val="00FB6244"/>
    <w:rsid w:val="00FB761B"/>
    <w:rsid w:val="00FC0E24"/>
    <w:rsid w:val="00FC2A1B"/>
    <w:rsid w:val="00FC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08C01-E8F7-4F20-83F2-D435CF8D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E8C"/>
    <w:pPr>
      <w:spacing w:line="1" w:lineRule="atLeast"/>
      <w:ind w:left="-1" w:hanging="1"/>
      <w:textAlignment w:val="top"/>
      <w:outlineLvl w:val="0"/>
    </w:pPr>
    <w:rPr>
      <w:rFonts w:eastAsia="Times New Roman"/>
      <w:position w:val="-1"/>
      <w:sz w:val="24"/>
      <w:szCs w:val="24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CabealhoChar">
    <w:name w:val="Cabeçalho Char"/>
    <w:qFormat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vertAlign w:val="baseli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Pr>
      <w:sz w:val="20"/>
      <w:szCs w:val="20"/>
      <w:vertAlign w:val="subscript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qFormat/>
    <w:rPr>
      <w:vertAlign w:val="subscript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abealhoChar1">
    <w:name w:val="Cabeçalho Char1"/>
    <w:link w:val="Cabealho"/>
    <w:qFormat/>
  </w:style>
  <w:style w:type="character" w:customStyle="1" w:styleId="NormalWebChar">
    <w:name w:val="Normal (Web) Char"/>
    <w:link w:val="NormalWeb"/>
    <w:uiPriority w:val="99"/>
    <w:qFormat/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link w:val="CorpodetextoChar"/>
    <w:uiPriority w:val="99"/>
    <w:semiHidden/>
    <w:unhideWhenUsed/>
    <w:qFormat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styleId="NormalWeb">
    <w:name w:val="Normal (Web)"/>
    <w:basedOn w:val="Normal"/>
    <w:link w:val="NormalWebChar"/>
    <w:uiPriority w:val="99"/>
    <w:unhideWhenUsed/>
    <w:qFormat/>
    <w:pPr>
      <w:suppressAutoHyphens w:val="0"/>
      <w:spacing w:beforeAutospacing="1" w:afterAutospacing="1" w:line="240" w:lineRule="auto"/>
      <w:ind w:left="0" w:firstLine="0"/>
      <w:textAlignment w:val="auto"/>
      <w:outlineLvl w:val="9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1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Recuodecorpodetexto">
    <w:name w:val="Body Text Indent"/>
    <w:basedOn w:val="Normal"/>
    <w:qFormat/>
    <w:pPr>
      <w:ind w:left="851" w:firstLine="3118"/>
      <w:jc w:val="both"/>
    </w:pPr>
    <w:rPr>
      <w:sz w:val="28"/>
      <w:szCs w:val="20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sz w:val="24"/>
      <w:szCs w:val="24"/>
      <w:lang w:eastAsia="en-US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spacing w:line="240" w:lineRule="auto"/>
      <w:ind w:left="0" w:firstLine="0"/>
      <w:textAlignment w:val="auto"/>
      <w:outlineLvl w:val="9"/>
    </w:pPr>
    <w:rPr>
      <w:sz w:val="22"/>
      <w:szCs w:val="22"/>
      <w:lang w:val="pt-PT" w:eastAsia="en-US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rte">
    <w:name w:val="Strong"/>
    <w:basedOn w:val="Fontepargpadro"/>
    <w:uiPriority w:val="22"/>
    <w:qFormat/>
    <w:rsid w:val="00330603"/>
    <w:rPr>
      <w:b/>
      <w:bCs/>
    </w:rPr>
  </w:style>
  <w:style w:type="character" w:customStyle="1" w:styleId="adr">
    <w:name w:val="adr"/>
    <w:basedOn w:val="Fontepargpadro"/>
    <w:rsid w:val="00C9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otaparana.pr.gov.br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paineldeprecos.planejamento.gov.b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v.br/pncp/pt-br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paineldeprecos.planejamento.gov.br/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5B70C88-055B-47D4-90C8-5BE8BAF82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3</Pages>
  <Words>1051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298</cp:revision>
  <cp:lastPrinted>2025-09-30T15:08:00Z</cp:lastPrinted>
  <dcterms:created xsi:type="dcterms:W3CDTF">2025-02-10T09:52:00Z</dcterms:created>
  <dcterms:modified xsi:type="dcterms:W3CDTF">2025-09-30T15:13:00Z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02EB394237CB46E0A9EBFE38C250FDE4_13</vt:lpwstr>
  </property>
  <property fmtid="{D5CDD505-2E9C-101B-9397-08002B2CF9AE}" pid="3" name="KSOProductBuildVer">
    <vt:lpwstr>1046-12.2.0.19805</vt:lpwstr>
  </property>
</Properties>
</file>